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DE8E" w14:textId="77777777" w:rsidR="00FD3786" w:rsidRDefault="00000000">
      <w:pPr>
        <w:pStyle w:val="BodyText"/>
        <w:ind w:left="3265"/>
        <w:rPr>
          <w:sz w:val="20"/>
        </w:rPr>
      </w:pPr>
      <w:r>
        <w:rPr>
          <w:noProof/>
          <w:sz w:val="20"/>
        </w:rPr>
        <w:drawing>
          <wp:inline distT="0" distB="0" distL="0" distR="0" wp14:anchorId="65782E3A" wp14:editId="4E9258E3">
            <wp:extent cx="1825393" cy="18383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393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CBFEF" w14:textId="77777777" w:rsidR="00FD3786" w:rsidRDefault="00FD3786">
      <w:pPr>
        <w:pStyle w:val="BodyText"/>
        <w:spacing w:before="311"/>
        <w:ind w:left="0"/>
        <w:rPr>
          <w:sz w:val="36"/>
        </w:rPr>
      </w:pPr>
    </w:p>
    <w:p w14:paraId="1B1BFF34" w14:textId="77777777" w:rsidR="00FD3786" w:rsidRDefault="00000000">
      <w:pPr>
        <w:pStyle w:val="Title"/>
      </w:pPr>
      <w:r>
        <w:t>Patrick Henry</w:t>
      </w:r>
      <w:r>
        <w:rPr>
          <w:spacing w:val="1"/>
        </w:rPr>
        <w:t xml:space="preserve"> </w:t>
      </w:r>
      <w:r>
        <w:t xml:space="preserve">History </w:t>
      </w:r>
      <w:r>
        <w:rPr>
          <w:spacing w:val="-2"/>
        </w:rPr>
        <w:t>Fellowship</w:t>
      </w:r>
    </w:p>
    <w:p w14:paraId="1C1A3D64" w14:textId="77777777" w:rsidR="00FD3786" w:rsidRDefault="00000000">
      <w:pPr>
        <w:pStyle w:val="BodyText"/>
        <w:spacing w:before="288"/>
        <w:ind w:right="249"/>
      </w:pPr>
      <w:r>
        <w:t>The</w:t>
      </w:r>
      <w:r>
        <w:rPr>
          <w:spacing w:val="-6"/>
        </w:rPr>
        <w:t xml:space="preserve"> </w:t>
      </w:r>
      <w:r>
        <w:t>Starr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American Experience</w:t>
      </w:r>
      <w:r>
        <w:rPr>
          <w:spacing w:val="-1"/>
        </w:rPr>
        <w:t xml:space="preserve"> </w:t>
      </w:r>
      <w:r>
        <w:t>invites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full-time residential fellowship, which supports outstanding work on American history and culture by both scholars and nonacademic authors. The deadline for applications for the 2025-2026 Patrick Henry Writing Fellowship is January 15, 2025.</w:t>
      </w:r>
    </w:p>
    <w:p w14:paraId="35B1F474" w14:textId="77777777" w:rsidR="00FD3786" w:rsidRDefault="00FD3786">
      <w:pPr>
        <w:pStyle w:val="BodyText"/>
        <w:ind w:left="0"/>
      </w:pPr>
    </w:p>
    <w:p w14:paraId="06FBD8CA" w14:textId="77777777" w:rsidR="00FD3786" w:rsidRDefault="00000000">
      <w:pPr>
        <w:pStyle w:val="BodyText"/>
        <w:ind w:right="275"/>
      </w:pPr>
      <w:r>
        <w:t xml:space="preserve">The Center’s </w:t>
      </w:r>
      <w:hyperlink r:id="rId6">
        <w:r>
          <w:rPr>
            <w:b/>
            <w:color w:val="0000FF"/>
            <w:u w:val="thick" w:color="0000FF"/>
          </w:rPr>
          <w:t>Patrick Henry History Fellowship</w:t>
        </w:r>
      </w:hyperlink>
      <w:r>
        <w:rPr>
          <w:b/>
          <w:color w:val="0000FF"/>
        </w:rPr>
        <w:t xml:space="preserve"> </w:t>
      </w:r>
      <w:r>
        <w:t>includes a $45,000 stipend, health benefits, faculty privileges, a book allowance, and a nine-month residency (during the academic year 2025-2026)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historic</w:t>
      </w:r>
      <w:r>
        <w:rPr>
          <w:spacing w:val="-9"/>
        </w:rPr>
        <w:t xml:space="preserve"> </w:t>
      </w:r>
      <w:r>
        <w:t>Chestertown,</w:t>
      </w:r>
      <w:r>
        <w:rPr>
          <w:spacing w:val="-7"/>
        </w:rPr>
        <w:t xml:space="preserve"> </w:t>
      </w:r>
      <w:r>
        <w:t>Md.</w:t>
      </w:r>
      <w:r>
        <w:rPr>
          <w:spacing w:val="-3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broad</w:t>
      </w:r>
      <w:r>
        <w:rPr>
          <w:spacing w:val="-8"/>
        </w:rPr>
        <w:t xml:space="preserve"> </w:t>
      </w:r>
      <w:r>
        <w:t>range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related to American history and culture are</w:t>
      </w:r>
      <w:r>
        <w:rPr>
          <w:spacing w:val="-1"/>
        </w:rPr>
        <w:t xml:space="preserve"> </w:t>
      </w:r>
      <w:r>
        <w:t>eligible; academic</w:t>
      </w:r>
      <w:r>
        <w:rPr>
          <w:spacing w:val="-1"/>
        </w:rPr>
        <w:t xml:space="preserve"> </w:t>
      </w:r>
      <w:r>
        <w:t>affiliations or advanced degrees are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2"/>
        </w:rPr>
        <w:t>required.</w:t>
      </w:r>
    </w:p>
    <w:p w14:paraId="06B87E46" w14:textId="77777777" w:rsidR="00FD3786" w:rsidRDefault="00FD3786">
      <w:pPr>
        <w:pStyle w:val="BodyText"/>
        <w:spacing w:before="10"/>
        <w:ind w:left="0"/>
      </w:pPr>
    </w:p>
    <w:p w14:paraId="6ED10271" w14:textId="77777777" w:rsidR="00FD3786" w:rsidRDefault="00000000">
      <w:pPr>
        <w:pStyle w:val="BodyText"/>
        <w:ind w:right="275"/>
      </w:pPr>
      <w:r>
        <w:t>Applicants should have a significant project currently in progress – a book, film, oral history archive, podcast series, museum exhibition, or similar work. The project should address the history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legacy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broadly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founding</w:t>
      </w:r>
      <w:r>
        <w:rPr>
          <w:spacing w:val="-4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nation’s</w:t>
      </w:r>
      <w:r>
        <w:rPr>
          <w:spacing w:val="-3"/>
        </w:rPr>
        <w:t xml:space="preserve"> </w:t>
      </w:r>
      <w:r>
        <w:t>founding ideas. It might focus directly on early America, or on the myriad ways the questions that</w:t>
      </w:r>
    </w:p>
    <w:p w14:paraId="6357A009" w14:textId="77777777" w:rsidR="00FD3786" w:rsidRDefault="00000000">
      <w:pPr>
        <w:pStyle w:val="BodyText"/>
        <w:ind w:right="275"/>
      </w:pPr>
      <w:r>
        <w:t>preoccupied the nation’s founding generation have shaped America’s later history. Innovative work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contributes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ongoing</w:t>
      </w:r>
      <w:r>
        <w:rPr>
          <w:spacing w:val="-9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conversations</w:t>
      </w:r>
      <w:r>
        <w:rPr>
          <w:spacing w:val="-6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America’s</w:t>
      </w:r>
      <w:r>
        <w:rPr>
          <w:spacing w:val="-7"/>
        </w:rPr>
        <w:t xml:space="preserve"> </w:t>
      </w:r>
      <w:r>
        <w:t>past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present,</w:t>
      </w:r>
      <w:r>
        <w:rPr>
          <w:spacing w:val="-9"/>
        </w:rPr>
        <w:t xml:space="preserve"> </w:t>
      </w:r>
      <w:r>
        <w:t>with the potential to reach a wide public, is particularly sought.</w:t>
      </w:r>
    </w:p>
    <w:p w14:paraId="33A36431" w14:textId="77777777" w:rsidR="00FD3786" w:rsidRDefault="00000000">
      <w:pPr>
        <w:spacing w:before="274"/>
        <w:ind w:left="100" w:right="115"/>
        <w:rPr>
          <w:sz w:val="24"/>
        </w:rPr>
      </w:pPr>
      <w:r>
        <w:rPr>
          <w:sz w:val="24"/>
        </w:rPr>
        <w:t>Please note that neither the fellowship, Washington College, nor the Starr Center have any political agenda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orientation. </w:t>
      </w:r>
      <w:r>
        <w:rPr>
          <w:b/>
          <w:sz w:val="24"/>
        </w:rPr>
        <w:t>We encourage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broad reading of such terms as “founders” 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“founding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ideas.”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Past</w:t>
      </w:r>
      <w:r>
        <w:rPr>
          <w:spacing w:val="-9"/>
          <w:sz w:val="24"/>
        </w:rPr>
        <w:t xml:space="preserve"> </w:t>
      </w:r>
      <w:r>
        <w:rPr>
          <w:sz w:val="24"/>
        </w:rPr>
        <w:t>fellowship</w:t>
      </w:r>
      <w:r>
        <w:rPr>
          <w:spacing w:val="-8"/>
          <w:sz w:val="24"/>
        </w:rPr>
        <w:t xml:space="preserve"> </w:t>
      </w:r>
      <w:r>
        <w:rPr>
          <w:sz w:val="24"/>
        </w:rPr>
        <w:t>topics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ranged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broadly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early</w:t>
      </w:r>
      <w:r>
        <w:rPr>
          <w:spacing w:val="-7"/>
          <w:sz w:val="24"/>
        </w:rPr>
        <w:t xml:space="preserve"> </w:t>
      </w:r>
      <w:r>
        <w:rPr>
          <w:sz w:val="24"/>
        </w:rPr>
        <w:t>history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slave trade, American religious minorities, and the LGBTQ rights movement.</w:t>
      </w:r>
    </w:p>
    <w:p w14:paraId="1E478D5C" w14:textId="77777777" w:rsidR="00FD3786" w:rsidRDefault="00FD3786">
      <w:pPr>
        <w:pStyle w:val="BodyText"/>
        <w:spacing w:before="5"/>
        <w:ind w:left="0"/>
      </w:pPr>
    </w:p>
    <w:p w14:paraId="3A06C8EE" w14:textId="77777777" w:rsidR="00FD3786" w:rsidRDefault="00000000">
      <w:pPr>
        <w:pStyle w:val="BodyText"/>
        <w:ind w:right="115"/>
      </w:pPr>
      <w:r>
        <w:t>Applications</w:t>
      </w:r>
      <w:r>
        <w:rPr>
          <w:spacing w:val="-12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published</w:t>
      </w:r>
      <w:r>
        <w:rPr>
          <w:spacing w:val="-11"/>
        </w:rPr>
        <w:t xml:space="preserve"> </w:t>
      </w:r>
      <w:r>
        <w:t>writers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scholars</w:t>
      </w:r>
      <w:r>
        <w:rPr>
          <w:spacing w:val="-9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welcome.</w:t>
      </w:r>
      <w:r>
        <w:rPr>
          <w:spacing w:val="-10"/>
        </w:rPr>
        <w:t xml:space="preserve"> </w:t>
      </w:r>
      <w:r>
        <w:t>Dissertation</w:t>
      </w:r>
      <w:r>
        <w:rPr>
          <w:spacing w:val="-10"/>
        </w:rPr>
        <w:t xml:space="preserve"> </w:t>
      </w:r>
      <w:r>
        <w:t xml:space="preserve">projects will not be considered; first-book projects are likewise discouraged unless the applicant has an otherwise extensive publication history. Candidates who have completed </w:t>
      </w:r>
      <w:proofErr w:type="gramStart"/>
      <w:r>
        <w:t>the majority of</w:t>
      </w:r>
      <w:proofErr w:type="gramEnd"/>
      <w:r>
        <w:t xml:space="preserve"> their research and are focused on the writing phase of their projects are especially encouraged to </w:t>
      </w:r>
      <w:r>
        <w:rPr>
          <w:spacing w:val="-2"/>
        </w:rPr>
        <w:t>apply.</w:t>
      </w:r>
    </w:p>
    <w:p w14:paraId="31572961" w14:textId="77777777" w:rsidR="00FD3786" w:rsidRDefault="00FD3786">
      <w:pPr>
        <w:sectPr w:rsidR="00FD3786">
          <w:type w:val="continuous"/>
          <w:pgSz w:w="12240" w:h="15840"/>
          <w:pgMar w:top="1700" w:right="1400" w:bottom="280" w:left="1340" w:header="720" w:footer="720" w:gutter="0"/>
          <w:cols w:space="720"/>
        </w:sectPr>
      </w:pPr>
    </w:p>
    <w:p w14:paraId="77DB3CAF" w14:textId="77777777" w:rsidR="00FD3786" w:rsidRDefault="00000000">
      <w:pPr>
        <w:pStyle w:val="BodyText"/>
        <w:spacing w:before="61" w:line="242" w:lineRule="auto"/>
        <w:ind w:right="275"/>
      </w:pPr>
      <w:r>
        <w:lastRenderedPageBreak/>
        <w:t>The</w:t>
      </w:r>
      <w:r>
        <w:rPr>
          <w:spacing w:val="-11"/>
        </w:rPr>
        <w:t xml:space="preserve"> </w:t>
      </w:r>
      <w:r>
        <w:t>Starr</w:t>
      </w:r>
      <w:r>
        <w:rPr>
          <w:spacing w:val="-10"/>
        </w:rPr>
        <w:t xml:space="preserve"> </w:t>
      </w:r>
      <w:r>
        <w:t>Center,</w:t>
      </w:r>
      <w:r>
        <w:rPr>
          <w:spacing w:val="-5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Washington</w:t>
      </w:r>
      <w:r>
        <w:rPr>
          <w:spacing w:val="-10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Chestertown,</w:t>
      </w:r>
      <w:r>
        <w:rPr>
          <w:spacing w:val="-9"/>
        </w:rPr>
        <w:t xml:space="preserve"> </w:t>
      </w:r>
      <w:r>
        <w:t>Md.,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interdisciplinary center dedicated to fostering innovative approaches to the American past, and to promoting excellent writing on history, for general as well as academic audiences.</w:t>
      </w:r>
    </w:p>
    <w:p w14:paraId="30B40C99" w14:textId="77777777" w:rsidR="00FD3786" w:rsidRDefault="00000000">
      <w:pPr>
        <w:pStyle w:val="BodyText"/>
        <w:spacing w:before="269"/>
        <w:ind w:right="115"/>
      </w:pPr>
      <w:r>
        <w:t>The 2025-2026 Patrick Henry Fellow will maintain full-time residence in Chestertown throughout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award,</w:t>
      </w:r>
      <w:r>
        <w:rPr>
          <w:spacing w:val="-8"/>
        </w:rPr>
        <w:t xml:space="preserve"> </w:t>
      </w:r>
      <w:r>
        <w:t>although</w:t>
      </w:r>
      <w:r>
        <w:rPr>
          <w:spacing w:val="-9"/>
        </w:rPr>
        <w:t xml:space="preserve"> </w:t>
      </w:r>
      <w:r>
        <w:t>short-term</w:t>
      </w:r>
      <w:r>
        <w:rPr>
          <w:spacing w:val="-10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permitted.</w:t>
      </w:r>
      <w:r>
        <w:rPr>
          <w:spacing w:val="-8"/>
        </w:rPr>
        <w:t xml:space="preserve"> </w:t>
      </w:r>
      <w:r>
        <w:t xml:space="preserve">(Chestertown is located on the Eastern Shore of Maryland, approximately 90 minutes from Washington and Philadelphia, and three hours from New York City.) In addition to the use of the </w:t>
      </w:r>
      <w:hyperlink r:id="rId7">
        <w:r>
          <w:rPr>
            <w:color w:val="0000FF"/>
            <w:u w:val="single" w:color="0000FF"/>
          </w:rPr>
          <w:t>fellowship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residence</w:t>
        </w:r>
      </w:hyperlink>
      <w:r>
        <w:rPr>
          <w:color w:val="0000FF"/>
        </w:rPr>
        <w:t xml:space="preserve"> </w:t>
      </w:r>
      <w:r>
        <w:t xml:space="preserve">(which is large enough to accommodate a family), the fellow will also receive office space in the </w:t>
      </w:r>
      <w:hyperlink r:id="rId9">
        <w:r>
          <w:rPr>
            <w:color w:val="0000FF"/>
            <w:u w:val="single" w:color="0000FF"/>
          </w:rPr>
          <w:t>18th-century waterfront Custom House</w:t>
        </w:r>
        <w:r>
          <w:t>,</w:t>
        </w:r>
      </w:hyperlink>
      <w:r>
        <w:t xml:space="preserve"> home of the Starr Center.</w:t>
      </w:r>
    </w:p>
    <w:p w14:paraId="06540933" w14:textId="77777777" w:rsidR="00FD3786" w:rsidRDefault="00FD3786">
      <w:pPr>
        <w:pStyle w:val="BodyText"/>
        <w:spacing w:before="4"/>
        <w:ind w:left="0"/>
      </w:pPr>
    </w:p>
    <w:p w14:paraId="60F1A52B" w14:textId="77777777" w:rsidR="00FD3786" w:rsidRDefault="00000000">
      <w:pPr>
        <w:pStyle w:val="BodyText"/>
        <w:spacing w:line="242" w:lineRule="auto"/>
        <w:ind w:right="275"/>
      </w:pPr>
      <w:r>
        <w:t>The</w:t>
      </w:r>
      <w:r>
        <w:rPr>
          <w:spacing w:val="-10"/>
        </w:rPr>
        <w:t xml:space="preserve"> </w:t>
      </w:r>
      <w:r>
        <w:t>fellow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teach</w:t>
      </w:r>
      <w:r>
        <w:rPr>
          <w:spacing w:val="-4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undergraduate</w:t>
      </w:r>
      <w:r>
        <w:rPr>
          <w:spacing w:val="-10"/>
        </w:rPr>
        <w:t xml:space="preserve"> </w:t>
      </w:r>
      <w:r>
        <w:t>seminar</w:t>
      </w:r>
      <w:r>
        <w:rPr>
          <w:spacing w:val="-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Washington</w:t>
      </w:r>
      <w:r>
        <w:rPr>
          <w:spacing w:val="-8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spring</w:t>
      </w:r>
      <w:r>
        <w:rPr>
          <w:spacing w:val="-9"/>
        </w:rPr>
        <w:t xml:space="preserve"> </w:t>
      </w:r>
      <w:r>
        <w:t>semester and give at least one public lecture or workshop related to his or her work.</w:t>
      </w:r>
    </w:p>
    <w:p w14:paraId="315A52F1" w14:textId="77777777" w:rsidR="00FD3786" w:rsidRDefault="00FD3786">
      <w:pPr>
        <w:pStyle w:val="BodyText"/>
        <w:spacing w:before="2"/>
        <w:ind w:left="0"/>
      </w:pPr>
    </w:p>
    <w:p w14:paraId="712CA5BD" w14:textId="77777777" w:rsidR="00FD3786" w:rsidRDefault="00000000">
      <w:pPr>
        <w:pStyle w:val="BodyText"/>
      </w:pPr>
      <w:r>
        <w:t>The</w:t>
      </w:r>
      <w:r>
        <w:rPr>
          <w:spacing w:val="-4"/>
        </w:rPr>
        <w:t xml:space="preserve"> </w:t>
      </w:r>
      <w:r>
        <w:t>fellowship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2025.</w:t>
      </w:r>
    </w:p>
    <w:p w14:paraId="58DF3AB8" w14:textId="77777777" w:rsidR="00FD3786" w:rsidRDefault="00FD3786">
      <w:pPr>
        <w:pStyle w:val="BodyText"/>
        <w:spacing w:before="8"/>
        <w:ind w:left="0"/>
      </w:pPr>
    </w:p>
    <w:p w14:paraId="06DC96D0" w14:textId="77777777" w:rsidR="00FD3786" w:rsidRDefault="00000000">
      <w:pPr>
        <w:ind w:left="100"/>
        <w:rPr>
          <w:b/>
          <w:sz w:val="24"/>
        </w:rPr>
      </w:pPr>
      <w:r>
        <w:rPr>
          <w:b/>
          <w:sz w:val="24"/>
        </w:rPr>
        <w:t>Applications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should include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following:</w:t>
      </w:r>
    </w:p>
    <w:p w14:paraId="5792679A" w14:textId="77777777" w:rsidR="00FD3786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74"/>
        <w:ind w:left="82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letter;</w:t>
      </w:r>
      <w:proofErr w:type="gramEnd"/>
    </w:p>
    <w:p w14:paraId="269D6812" w14:textId="77777777" w:rsidR="00FD3786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717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0"/>
          <w:sz w:val="24"/>
        </w:rPr>
        <w:t xml:space="preserve"> </w:t>
      </w:r>
      <w:r>
        <w:rPr>
          <w:sz w:val="24"/>
        </w:rPr>
        <w:t>vitae,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list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past</w:t>
      </w:r>
      <w:r>
        <w:rPr>
          <w:spacing w:val="-1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names and telephone numbers of at least three </w:t>
      </w:r>
      <w:proofErr w:type="gramStart"/>
      <w:r>
        <w:rPr>
          <w:sz w:val="24"/>
        </w:rPr>
        <w:t>references;</w:t>
      </w:r>
      <w:proofErr w:type="gramEnd"/>
    </w:p>
    <w:p w14:paraId="7FAE4E4E" w14:textId="77777777" w:rsidR="00FD3786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69" w:lineRule="exact"/>
        <w:ind w:left="820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2"/>
          <w:sz w:val="24"/>
        </w:rPr>
        <w:t xml:space="preserve"> </w:t>
      </w:r>
      <w:r>
        <w:rPr>
          <w:sz w:val="24"/>
        </w:rPr>
        <w:t>sample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candidate’s writing (published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unpublished</w:t>
      </w:r>
      <w:proofErr w:type="gramStart"/>
      <w:r>
        <w:rPr>
          <w:spacing w:val="-2"/>
          <w:sz w:val="24"/>
        </w:rPr>
        <w:t>);</w:t>
      </w:r>
      <w:proofErr w:type="gramEnd"/>
    </w:p>
    <w:p w14:paraId="5CFF0962" w14:textId="77777777" w:rsidR="00FD3786" w:rsidRDefault="00000000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short</w:t>
      </w:r>
      <w:r>
        <w:rPr>
          <w:spacing w:val="-8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paragraph)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candidate</w:t>
      </w:r>
      <w:r>
        <w:rPr>
          <w:spacing w:val="3"/>
          <w:sz w:val="24"/>
        </w:rPr>
        <w:t xml:space="preserve"> </w:t>
      </w:r>
      <w:r>
        <w:rPr>
          <w:sz w:val="24"/>
        </w:rPr>
        <w:t>might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teach;</w:t>
      </w:r>
      <w:proofErr w:type="gramEnd"/>
    </w:p>
    <w:p w14:paraId="3F17E8F7" w14:textId="77777777" w:rsidR="00FD3786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323"/>
        <w:rPr>
          <w:sz w:val="24"/>
        </w:rPr>
      </w:pPr>
      <w:r>
        <w:rPr>
          <w:sz w:val="24"/>
        </w:rPr>
        <w:t>A brief but persuasive narrative description of the work-in-progress, its potential contributions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ongoing</w:t>
      </w:r>
      <w:r>
        <w:rPr>
          <w:spacing w:val="-10"/>
          <w:sz w:val="24"/>
        </w:rPr>
        <w:t xml:space="preserve"> </w:t>
      </w: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debates,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for his or her fellowship year.</w:t>
      </w:r>
    </w:p>
    <w:p w14:paraId="135128F2" w14:textId="77777777" w:rsidR="00FD3786" w:rsidRDefault="00000000">
      <w:pPr>
        <w:pStyle w:val="BodyText"/>
        <w:spacing w:before="273" w:line="242" w:lineRule="auto"/>
      </w:pPr>
      <w:r>
        <w:t>Questions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directed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Chrissy</w:t>
      </w:r>
      <w:r>
        <w:rPr>
          <w:spacing w:val="-9"/>
        </w:rPr>
        <w:t xml:space="preserve"> </w:t>
      </w:r>
      <w:r>
        <w:t>Sinatra,</w:t>
      </w:r>
      <w:r>
        <w:rPr>
          <w:spacing w:val="-4"/>
        </w:rPr>
        <w:t xml:space="preserve"> </w:t>
      </w:r>
      <w:r>
        <w:t>Assistant</w:t>
      </w:r>
      <w:r>
        <w:rPr>
          <w:spacing w:val="-10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 xml:space="preserve">Outreach Email: </w:t>
      </w:r>
      <w:hyperlink r:id="rId10">
        <w:r>
          <w:t>csinatra2@washcoll.edu</w:t>
        </w:r>
      </w:hyperlink>
    </w:p>
    <w:p w14:paraId="2B9C7DE5" w14:textId="77777777" w:rsidR="00FD3786" w:rsidRDefault="00FD3786">
      <w:pPr>
        <w:pStyle w:val="BodyText"/>
        <w:ind w:left="0"/>
      </w:pPr>
    </w:p>
    <w:p w14:paraId="2D967397" w14:textId="77777777" w:rsidR="00FD3786" w:rsidRDefault="00FD3786">
      <w:pPr>
        <w:pStyle w:val="BodyText"/>
        <w:spacing w:before="1"/>
        <w:ind w:left="0"/>
      </w:pPr>
    </w:p>
    <w:p w14:paraId="7FDD2093" w14:textId="29B20F45" w:rsidR="00FD3786" w:rsidRDefault="00000000">
      <w:pPr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5F68D2EE" wp14:editId="5370E5D4">
                <wp:simplePos x="0" y="0"/>
                <wp:positionH relativeFrom="page">
                  <wp:posOffset>2169541</wp:posOffset>
                </wp:positionH>
                <wp:positionV relativeFrom="paragraph">
                  <wp:posOffset>115972</wp:posOffset>
                </wp:positionV>
                <wp:extent cx="76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68064" from="170.830002pt,9.131661pt" to="176.830002pt,9.13166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Deadline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0B485B">
        <w:rPr>
          <w:sz w:val="24"/>
        </w:rPr>
        <w:t>5 -</w:t>
      </w:r>
      <w:r>
        <w:rPr>
          <w:sz w:val="24"/>
        </w:rPr>
        <w:t>202</w:t>
      </w:r>
      <w:r w:rsidR="000B485B"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fellowship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 w:rsidR="000B485B">
        <w:rPr>
          <w:b/>
          <w:sz w:val="24"/>
        </w:rPr>
        <w:t>January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15,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0B485B">
        <w:rPr>
          <w:b/>
          <w:spacing w:val="-2"/>
          <w:sz w:val="24"/>
        </w:rPr>
        <w:t>5</w:t>
      </w:r>
      <w:r>
        <w:rPr>
          <w:spacing w:val="-2"/>
          <w:sz w:val="24"/>
        </w:rPr>
        <w:t>.</w:t>
      </w:r>
    </w:p>
    <w:p w14:paraId="6137947F" w14:textId="77777777" w:rsidR="00FD3786" w:rsidRDefault="00FD3786">
      <w:pPr>
        <w:pStyle w:val="BodyText"/>
        <w:spacing w:before="3"/>
        <w:ind w:left="0"/>
      </w:pPr>
    </w:p>
    <w:p w14:paraId="2C48B7F6" w14:textId="77777777" w:rsidR="00FD3786" w:rsidRDefault="00000000">
      <w:pPr>
        <w:pStyle w:val="BodyText"/>
        <w:spacing w:line="242" w:lineRule="auto"/>
        <w:ind w:right="275"/>
      </w:pPr>
      <w:r>
        <w:t>Applications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PDF</w:t>
      </w:r>
      <w:r>
        <w:rPr>
          <w:spacing w:val="-12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mailed</w:t>
      </w:r>
      <w:r>
        <w:rPr>
          <w:spacing w:val="-4"/>
        </w:rPr>
        <w:t xml:space="preserve"> </w:t>
      </w:r>
      <w:r>
        <w:t xml:space="preserve">to: </w:t>
      </w:r>
      <w:hyperlink r:id="rId11">
        <w:r>
          <w:rPr>
            <w:color w:val="0000FF"/>
            <w:spacing w:val="-2"/>
            <w:u w:val="single" w:color="0000FF"/>
          </w:rPr>
          <w:t>applications_starrcenter@washcoll.edu</w:t>
        </w:r>
      </w:hyperlink>
    </w:p>
    <w:p w14:paraId="7CC61A73" w14:textId="77777777" w:rsidR="00FD3786" w:rsidRDefault="00000000">
      <w:pPr>
        <w:spacing w:before="273"/>
        <w:ind w:left="100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email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correspondence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applicant’s full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line.</w:t>
      </w:r>
    </w:p>
    <w:p w14:paraId="56F1B5EC" w14:textId="77777777" w:rsidR="00FD3786" w:rsidRDefault="00FD3786">
      <w:pPr>
        <w:pStyle w:val="BodyText"/>
        <w:spacing w:before="13"/>
        <w:ind w:left="0"/>
        <w:rPr>
          <w:i/>
        </w:rPr>
      </w:pPr>
    </w:p>
    <w:p w14:paraId="11DCFA3A" w14:textId="77777777" w:rsidR="00FD3786" w:rsidRDefault="00000000">
      <w:pPr>
        <w:pStyle w:val="BodyText"/>
        <w:ind w:right="115"/>
      </w:pPr>
      <w:r>
        <w:t xml:space="preserve">Support for the Starr Center Fellowships at Washington College comes from the </w:t>
      </w:r>
      <w:hyperlink r:id="rId12">
        <w:r>
          <w:rPr>
            <w:color w:val="0000FF"/>
            <w:u w:val="single" w:color="0000FF"/>
          </w:rPr>
          <w:t>National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Endowment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 the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Humanities</w:t>
        </w:r>
        <w:r>
          <w:t>,</w:t>
        </w:r>
      </w:hyperlink>
      <w:r>
        <w:t xml:space="preserve"> the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Starr Foundation</w:t>
        </w:r>
        <w:r>
          <w:t>,</w:t>
        </w:r>
      </w:hyperlink>
      <w:r>
        <w:t xml:space="preserve"> the</w:t>
      </w:r>
      <w:r>
        <w:rPr>
          <w:spacing w:val="-1"/>
        </w:rPr>
        <w:t xml:space="preserve"> </w:t>
      </w:r>
      <w:hyperlink r:id="rId15">
        <w:r>
          <w:rPr>
            <w:color w:val="0000FF"/>
            <w:u w:val="single" w:color="0000FF"/>
          </w:rPr>
          <w:t>Hodson Trust</w:t>
        </w:r>
        <w:r>
          <w:t>,</w:t>
        </w:r>
      </w:hyperlink>
      <w:r>
        <w:t xml:space="preserve"> the</w:t>
      </w:r>
      <w:r>
        <w:rPr>
          <w:spacing w:val="-1"/>
        </w:rPr>
        <w:t xml:space="preserve"> </w:t>
      </w:r>
      <w:r>
        <w:t>Barksdale-Dabney- Patrick</w:t>
      </w:r>
      <w:r>
        <w:rPr>
          <w:spacing w:val="-9"/>
        </w:rPr>
        <w:t xml:space="preserve"> </w:t>
      </w:r>
      <w:r>
        <w:t>Henry</w:t>
      </w:r>
      <w:r>
        <w:rPr>
          <w:spacing w:val="-5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Foundation,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donors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friends.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Patrick</w:t>
      </w:r>
      <w:r>
        <w:rPr>
          <w:spacing w:val="-9"/>
        </w:rPr>
        <w:t xml:space="preserve"> </w:t>
      </w:r>
      <w:r>
        <w:t>Henry Fellowship</w:t>
      </w:r>
      <w:r>
        <w:rPr>
          <w:spacing w:val="-8"/>
        </w:rPr>
        <w:t xml:space="preserve"> </w:t>
      </w:r>
      <w:r>
        <w:t xml:space="preserve">is co-sponsored by the </w:t>
      </w:r>
      <w:hyperlink r:id="rId16">
        <w:r>
          <w:rPr>
            <w:color w:val="0000FF"/>
            <w:u w:val="single" w:color="0000FF"/>
          </w:rPr>
          <w:t>Rose O’Neill Literary House</w:t>
        </w:r>
      </w:hyperlink>
      <w:r>
        <w:t>.</w:t>
      </w:r>
    </w:p>
    <w:sectPr w:rsidR="00FD3786">
      <w:pgSz w:w="12240" w:h="15840"/>
      <w:pgMar w:top="1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062A"/>
    <w:multiLevelType w:val="hybridMultilevel"/>
    <w:tmpl w:val="335CBDFC"/>
    <w:lvl w:ilvl="0" w:tplc="1576BAD8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EC631E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132618E8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C6181FEA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DC600A46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A2E6E2F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9BF21888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7E4E164A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5616EE50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 w16cid:durableId="126603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786"/>
    <w:rsid w:val="000B485B"/>
    <w:rsid w:val="00B852C5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ECAC6"/>
  <w15:docId w15:val="{3A8F8C3F-71AC-614D-951F-FD218FFC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coll.edu/learn-by-doing/starr/Fellowships/patrick_henry_fellowship/phf_residence.php" TargetMode="External"/><Relationship Id="rId13" Type="http://schemas.openxmlformats.org/officeDocument/2006/relationships/hyperlink" Target="http://www.neh.go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ashcoll.edu/learn-by-doing/starr/Fellowships/patrick_henry_fellowship/phf_residence.php" TargetMode="External"/><Relationship Id="rId12" Type="http://schemas.openxmlformats.org/officeDocument/2006/relationships/hyperlink" Target="http://www.neh.gov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ashcoll.edu/learn-by-doing/lit-house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ashcoll.edu/learn-by-doing/starr/Fellowships/patrick_henry_fellowship/index.php" TargetMode="External"/><Relationship Id="rId11" Type="http://schemas.openxmlformats.org/officeDocument/2006/relationships/hyperlink" Target="mailto:applications_starrcenter@washcoll.ed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hodsontrust.org/" TargetMode="External"/><Relationship Id="rId10" Type="http://schemas.openxmlformats.org/officeDocument/2006/relationships/hyperlink" Target="mailto:csinatra2@washco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shcoll.edu/learn-by-doing/starr/about_us.php" TargetMode="External"/><Relationship Id="rId14" Type="http://schemas.openxmlformats.org/officeDocument/2006/relationships/hyperlink" Target="http://www.starr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Kitz</dc:creator>
  <cp:lastModifiedBy>Christine Sinatra</cp:lastModifiedBy>
  <cp:revision>2</cp:revision>
  <dcterms:created xsi:type="dcterms:W3CDTF">2024-12-12T19:24:00Z</dcterms:created>
  <dcterms:modified xsi:type="dcterms:W3CDTF">2024-12-12T19:25:00Z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2024-12-12T00:00:00Z</vt:filetime>
  </property>
</Properties>
</file>